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418" w:rsidRDefault="00114418" w:rsidP="00430FB1">
      <w:pPr>
        <w:keepNext/>
        <w:keepLines/>
        <w:spacing w:after="0" w:line="240" w:lineRule="auto"/>
        <w:jc w:val="center"/>
        <w:outlineLvl w:val="0"/>
        <w:rPr>
          <w:rFonts w:ascii="Tw Cen MT" w:eastAsia="Times New Roman" w:hAnsi="Tw Cen MT" w:cs="Times New Roman"/>
          <w:color w:val="006162"/>
          <w:sz w:val="36"/>
          <w:szCs w:val="36"/>
          <w:lang w:bidi="en-US"/>
        </w:rPr>
      </w:pPr>
      <w:r>
        <w:rPr>
          <w:rFonts w:ascii="Tw Cen MT" w:eastAsia="Times New Roman" w:hAnsi="Tw Cen MT" w:cs="Times New Roman"/>
          <w:color w:val="006162"/>
          <w:sz w:val="36"/>
          <w:szCs w:val="36"/>
          <w:lang w:bidi="en-US"/>
        </w:rPr>
        <w:t>GATHER</w:t>
      </w:r>
      <w:bookmarkStart w:id="0" w:name="_GoBack"/>
      <w:bookmarkEnd w:id="0"/>
    </w:p>
    <w:p w:rsidR="00430FB1" w:rsidRPr="00430FB1" w:rsidRDefault="00430FB1" w:rsidP="00430FB1">
      <w:pPr>
        <w:keepNext/>
        <w:keepLines/>
        <w:spacing w:after="0" w:line="240" w:lineRule="auto"/>
        <w:jc w:val="center"/>
        <w:outlineLvl w:val="0"/>
        <w:rPr>
          <w:rFonts w:ascii="Tw Cen MT" w:eastAsia="Times New Roman" w:hAnsi="Tw Cen MT" w:cs="Times New Roman"/>
          <w:color w:val="006162"/>
          <w:sz w:val="36"/>
          <w:szCs w:val="36"/>
          <w:lang w:bidi="en-US"/>
        </w:rPr>
      </w:pPr>
      <w:r w:rsidRPr="00430FB1">
        <w:rPr>
          <w:rFonts w:ascii="Tw Cen MT" w:eastAsia="Times New Roman" w:hAnsi="Tw Cen MT" w:cs="Times New Roman"/>
          <w:color w:val="006162"/>
          <w:sz w:val="36"/>
          <w:szCs w:val="36"/>
          <w:lang w:bidi="en-US"/>
        </w:rPr>
        <w:t xml:space="preserve">Identify </w:t>
      </w:r>
      <w:r w:rsidR="00AE582E">
        <w:rPr>
          <w:rFonts w:ascii="Tw Cen MT" w:eastAsia="Times New Roman" w:hAnsi="Tw Cen MT" w:cs="Times New Roman"/>
          <w:color w:val="006162"/>
          <w:sz w:val="36"/>
          <w:szCs w:val="36"/>
          <w:lang w:bidi="en-US"/>
        </w:rPr>
        <w:t xml:space="preserve">Youth Advocates and Community </w:t>
      </w:r>
      <w:r w:rsidRPr="00430FB1">
        <w:rPr>
          <w:rFonts w:ascii="Tw Cen MT" w:eastAsia="Times New Roman" w:hAnsi="Tw Cen MT" w:cs="Times New Roman"/>
          <w:color w:val="006162"/>
          <w:sz w:val="36"/>
          <w:szCs w:val="36"/>
          <w:lang w:bidi="en-US"/>
        </w:rPr>
        <w:t>Partners</w:t>
      </w:r>
    </w:p>
    <w:p w:rsidR="00430FB1" w:rsidRPr="00430FB1" w:rsidRDefault="00430FB1" w:rsidP="00430FB1">
      <w:pPr>
        <w:spacing w:after="200" w:line="276" w:lineRule="auto"/>
        <w:rPr>
          <w:rFonts w:ascii="Tw Cen MT" w:eastAsia="Tw Cen MT" w:hAnsi="Tw Cen MT" w:cs="Times New Roman"/>
          <w:lang w:bidi="en-US"/>
        </w:rPr>
      </w:pPr>
    </w:p>
    <w:p w:rsidR="00430FB1" w:rsidRPr="00430FB1" w:rsidRDefault="00AE582E" w:rsidP="00430FB1">
      <w:pPr>
        <w:spacing w:after="200" w:line="276" w:lineRule="auto"/>
        <w:ind w:left="450" w:right="720"/>
        <w:jc w:val="center"/>
        <w:rPr>
          <w:rFonts w:ascii="Tw Cen MT" w:eastAsia="Tw Cen MT" w:hAnsi="Tw Cen MT" w:cs="Times New Roman"/>
          <w:b/>
          <w:lang w:bidi="en-US"/>
        </w:rPr>
      </w:pPr>
      <w:bookmarkStart w:id="1" w:name="_Hlk80088896"/>
      <w:r>
        <w:rPr>
          <w:rFonts w:ascii="Tw Cen MT" w:eastAsia="Tw Cen MT" w:hAnsi="Tw Cen MT" w:cs="Times New Roman"/>
          <w:b/>
          <w:noProof/>
        </w:rPr>
        <w:drawing>
          <wp:inline distT="0" distB="0" distL="0" distR="0">
            <wp:extent cx="1534478" cy="14916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aneHeadsho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818" cy="150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0FB1" w:rsidRPr="00430FB1">
        <w:rPr>
          <w:rFonts w:ascii="Tw Cen MT" w:eastAsia="Tw Cen MT" w:hAnsi="Tw Cen MT" w:cs="Times New Roman"/>
          <w:b/>
          <w:noProof/>
        </w:rPr>
        <w:drawing>
          <wp:inline distT="0" distB="0" distL="0" distR="0" wp14:anchorId="3FC9D941" wp14:editId="5C3A4A9D">
            <wp:extent cx="1480185" cy="1480185"/>
            <wp:effectExtent l="0" t="0" r="5715" b="5715"/>
            <wp:docPr id="1" name="Picture 137" descr="Logo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Logo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111" b="1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eastAsia="Tw Cen MT" w:hAnsi="Tw Cen MT" w:cs="Times New Roman"/>
          <w:b/>
          <w:noProof/>
          <w:lang w:bidi="en-US"/>
        </w:rPr>
        <w:drawing>
          <wp:inline distT="0" distB="0" distL="0" distR="0">
            <wp:extent cx="1549574" cy="139869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aredHeadsho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857" cy="1430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:rsidR="00430FB1" w:rsidRPr="00430FB1" w:rsidRDefault="00114418" w:rsidP="00430FB1">
      <w:pPr>
        <w:spacing w:line="276" w:lineRule="auto"/>
        <w:jc w:val="center"/>
        <w:rPr>
          <w:rFonts w:ascii="Tw Cen MT" w:eastAsia="Tw Cen MT" w:hAnsi="Tw Cen MT" w:cs="Times New Roman"/>
          <w:b/>
          <w:noProof/>
          <w:lang w:bidi="en-US"/>
        </w:rPr>
      </w:pPr>
      <w:r>
        <w:rPr>
          <w:rFonts w:ascii="Tw Cen MT" w:eastAsia="Tw Cen MT" w:hAnsi="Tw Cen MT" w:cs="Times New Roman"/>
          <w:b/>
          <w:noProof/>
          <w:lang w:bidi="en-US"/>
        </w:rPr>
        <w:pict>
          <v:rect id="_x0000_i1025" style="width:468pt;height:.6pt" o:hralign="center" o:hrstd="t" o:hr="t" fillcolor="#a0a0a0" stroked="f"/>
        </w:pict>
      </w:r>
    </w:p>
    <w:p w:rsidR="00430FB1" w:rsidRPr="00430FB1" w:rsidRDefault="00114418" w:rsidP="00430FB1">
      <w:pPr>
        <w:spacing w:after="200" w:line="276" w:lineRule="auto"/>
        <w:ind w:left="450" w:right="720"/>
        <w:rPr>
          <w:rFonts w:ascii="Tw Cen MT" w:eastAsia="Tw Cen MT" w:hAnsi="Tw Cen MT" w:cs="Times New Roman"/>
          <w:sz w:val="24"/>
        </w:rPr>
      </w:pPr>
      <w:r w:rsidRPr="00114418">
        <w:rPr>
          <w:rFonts w:ascii="Tw Cen MT" w:eastAsia="Tw Cen MT" w:hAnsi="Tw Cen MT" w:cs="Times New Roman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287655</wp:posOffset>
            </wp:positionH>
            <wp:positionV relativeFrom="paragraph">
              <wp:posOffset>0</wp:posOffset>
            </wp:positionV>
            <wp:extent cx="895350" cy="895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- Basket - Gath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4418">
        <w:rPr>
          <w:rFonts w:ascii="Tw Cen MT" w:eastAsia="Tw Cen MT" w:hAnsi="Tw Cen MT" w:cs="Times New Roman"/>
          <w:b/>
          <w:sz w:val="24"/>
        </w:rPr>
        <w:t>Get Support</w:t>
      </w:r>
      <w:r>
        <w:rPr>
          <w:rFonts w:ascii="Tw Cen MT" w:eastAsia="Tw Cen MT" w:hAnsi="Tw Cen MT" w:cs="Times New Roman"/>
          <w:sz w:val="24"/>
        </w:rPr>
        <w:t>: This</w:t>
      </w:r>
      <w:r w:rsidR="00430FB1" w:rsidRPr="00430FB1">
        <w:rPr>
          <w:rFonts w:ascii="Tw Cen MT" w:eastAsia="Tw Cen MT" w:hAnsi="Tw Cen MT" w:cs="Times New Roman"/>
          <w:sz w:val="24"/>
        </w:rPr>
        <w:t xml:space="preserve"> is a resource </w:t>
      </w:r>
      <w:r w:rsidR="00830805">
        <w:rPr>
          <w:rFonts w:ascii="Tw Cen MT" w:eastAsia="Tw Cen MT" w:hAnsi="Tw Cen MT" w:cs="Times New Roman"/>
          <w:sz w:val="24"/>
        </w:rPr>
        <w:t>that can</w:t>
      </w:r>
      <w:r w:rsidR="00430FB1" w:rsidRPr="00430FB1">
        <w:rPr>
          <w:rFonts w:ascii="Tw Cen MT" w:eastAsia="Tw Cen MT" w:hAnsi="Tw Cen MT" w:cs="Times New Roman"/>
          <w:sz w:val="24"/>
        </w:rPr>
        <w:t xml:space="preserve"> help you identify </w:t>
      </w:r>
      <w:r w:rsidR="00830805" w:rsidRPr="00830805">
        <w:rPr>
          <w:rFonts w:ascii="Tw Cen MT" w:eastAsia="Tw Cen MT" w:hAnsi="Tw Cen MT" w:cs="Times New Roman"/>
          <w:sz w:val="24"/>
        </w:rPr>
        <w:t>community partners</w:t>
      </w:r>
      <w:r>
        <w:rPr>
          <w:rFonts w:ascii="Tw Cen MT" w:eastAsia="Tw Cen MT" w:hAnsi="Tw Cen MT" w:cs="Times New Roman"/>
          <w:sz w:val="24"/>
        </w:rPr>
        <w:t xml:space="preserve"> and key decision-makers</w:t>
      </w:r>
      <w:r w:rsidR="00830805" w:rsidRPr="00830805">
        <w:rPr>
          <w:rFonts w:ascii="Tw Cen MT" w:eastAsia="Tw Cen MT" w:hAnsi="Tw Cen MT" w:cs="Times New Roman"/>
          <w:sz w:val="24"/>
        </w:rPr>
        <w:t xml:space="preserve"> that can</w:t>
      </w:r>
      <w:r w:rsidR="00830805">
        <w:rPr>
          <w:rFonts w:ascii="Tw Cen MT" w:eastAsia="Tw Cen MT" w:hAnsi="Tw Cen MT" w:cs="Times New Roman"/>
          <w:sz w:val="24"/>
        </w:rPr>
        <w:t xml:space="preserve"> help</w:t>
      </w:r>
      <w:r w:rsidR="00830805" w:rsidRPr="00830805">
        <w:rPr>
          <w:rFonts w:ascii="Tw Cen MT" w:eastAsia="Tw Cen MT" w:hAnsi="Tw Cen MT" w:cs="Times New Roman"/>
          <w:sz w:val="24"/>
        </w:rPr>
        <w:t xml:space="preserve"> support the delivery and implementation of your program.</w:t>
      </w:r>
      <w:r w:rsidR="00430FB1" w:rsidRPr="00430FB1">
        <w:rPr>
          <w:rFonts w:ascii="Tw Cen MT" w:eastAsia="Tw Cen MT" w:hAnsi="Tw Cen MT" w:cs="Times New Roman"/>
          <w:sz w:val="24"/>
        </w:rPr>
        <w:t xml:space="preserve"> These </w:t>
      </w:r>
      <w:r w:rsidR="00830805">
        <w:rPr>
          <w:rFonts w:ascii="Tw Cen MT" w:eastAsia="Tw Cen MT" w:hAnsi="Tw Cen MT" w:cs="Times New Roman"/>
          <w:sz w:val="24"/>
        </w:rPr>
        <w:t>partners</w:t>
      </w:r>
      <w:r w:rsidR="00430FB1" w:rsidRPr="00430FB1">
        <w:rPr>
          <w:rFonts w:ascii="Tw Cen MT" w:eastAsia="Tw Cen MT" w:hAnsi="Tw Cen MT" w:cs="Times New Roman"/>
          <w:sz w:val="24"/>
        </w:rPr>
        <w:t xml:space="preserve"> may have resources or contributions beyond what you can think of, so stay open to learning about what they are doing and how they want to work together. </w:t>
      </w:r>
    </w:p>
    <w:p w:rsidR="00430FB1" w:rsidRPr="00430FB1" w:rsidRDefault="00430FB1" w:rsidP="00430FB1">
      <w:pPr>
        <w:spacing w:after="200" w:line="276" w:lineRule="auto"/>
        <w:ind w:left="450" w:right="720"/>
        <w:rPr>
          <w:rFonts w:ascii="Tw Cen MT" w:eastAsia="Times New Roman" w:hAnsi="Tw Cen MT" w:cs="Times New Roman"/>
          <w:sz w:val="24"/>
          <w:szCs w:val="24"/>
        </w:rPr>
      </w:pPr>
      <w:r w:rsidRPr="00FE106E">
        <w:rPr>
          <w:rFonts w:ascii="Tw Cen MT" w:eastAsia="Tw Cen MT" w:hAnsi="Tw Cen MT" w:cs="Times New Roman"/>
          <w:b/>
          <w:sz w:val="24"/>
          <w:szCs w:val="24"/>
        </w:rPr>
        <w:t>Instructions</w:t>
      </w:r>
      <w:r w:rsidRPr="00430FB1">
        <w:rPr>
          <w:rFonts w:ascii="Tw Cen MT" w:eastAsia="Tw Cen MT" w:hAnsi="Tw Cen MT" w:cs="Times New Roman"/>
          <w:sz w:val="24"/>
          <w:szCs w:val="24"/>
        </w:rPr>
        <w:t xml:space="preserve">: </w:t>
      </w:r>
      <w:r w:rsidRPr="00430FB1">
        <w:rPr>
          <w:rFonts w:ascii="Tw Cen MT" w:eastAsia="Times New Roman" w:hAnsi="Tw Cen MT" w:cs="Times New Roman"/>
          <w:sz w:val="24"/>
          <w:szCs w:val="24"/>
        </w:rPr>
        <w:t>In the left column</w:t>
      </w:r>
      <w:r w:rsidR="00830805">
        <w:rPr>
          <w:rFonts w:ascii="Tw Cen MT" w:eastAsia="Times New Roman" w:hAnsi="Tw Cen MT" w:cs="Times New Roman"/>
          <w:sz w:val="24"/>
          <w:szCs w:val="24"/>
        </w:rPr>
        <w:t>,</w:t>
      </w:r>
      <w:r w:rsidRPr="00430FB1">
        <w:rPr>
          <w:rFonts w:ascii="Tw Cen MT" w:eastAsia="Times New Roman" w:hAnsi="Tw Cen MT" w:cs="Times New Roman"/>
          <w:sz w:val="24"/>
          <w:szCs w:val="24"/>
        </w:rPr>
        <w:t xml:space="preserve"> brainstorm potential and existing partners that can support your work. Include actual names or organizations, if you know them. There are a few categories written in to get you started and a few “Other” spaces </w:t>
      </w:r>
      <w:r w:rsidR="00830805">
        <w:rPr>
          <w:rFonts w:ascii="Tw Cen MT" w:eastAsia="Times New Roman" w:hAnsi="Tw Cen MT" w:cs="Times New Roman"/>
          <w:sz w:val="24"/>
          <w:szCs w:val="24"/>
        </w:rPr>
        <w:t xml:space="preserve">that can be used </w:t>
      </w:r>
      <w:r w:rsidRPr="00430FB1">
        <w:rPr>
          <w:rFonts w:ascii="Tw Cen MT" w:eastAsia="Times New Roman" w:hAnsi="Tw Cen MT" w:cs="Times New Roman"/>
          <w:sz w:val="24"/>
          <w:szCs w:val="24"/>
        </w:rPr>
        <w:t>for partners that don’t fit into the other boxes. In the right column</w:t>
      </w:r>
      <w:r w:rsidR="00830805">
        <w:rPr>
          <w:rFonts w:ascii="Tw Cen MT" w:eastAsia="Times New Roman" w:hAnsi="Tw Cen MT" w:cs="Times New Roman"/>
          <w:sz w:val="24"/>
          <w:szCs w:val="24"/>
        </w:rPr>
        <w:t>,</w:t>
      </w:r>
      <w:r w:rsidRPr="00430FB1">
        <w:rPr>
          <w:rFonts w:ascii="Tw Cen MT" w:eastAsia="Times New Roman" w:hAnsi="Tw Cen MT" w:cs="Times New Roman"/>
          <w:sz w:val="24"/>
          <w:szCs w:val="24"/>
        </w:rPr>
        <w:t xml:space="preserve"> </w:t>
      </w:r>
      <w:r w:rsidR="00830805">
        <w:rPr>
          <w:rFonts w:ascii="Tw Cen MT" w:eastAsia="Times New Roman" w:hAnsi="Tw Cen MT" w:cs="Times New Roman"/>
          <w:sz w:val="24"/>
          <w:szCs w:val="24"/>
        </w:rPr>
        <w:t>list</w:t>
      </w:r>
      <w:r w:rsidRPr="00430FB1">
        <w:rPr>
          <w:rFonts w:ascii="Tw Cen MT" w:eastAsia="Times New Roman" w:hAnsi="Tw Cen MT" w:cs="Times New Roman"/>
          <w:sz w:val="24"/>
          <w:szCs w:val="24"/>
        </w:rPr>
        <w:t xml:space="preserve"> ways these partners can support or participate in your programming. </w:t>
      </w:r>
    </w:p>
    <w:p w:rsidR="00FE106E" w:rsidRPr="00430FB1" w:rsidRDefault="00430FB1" w:rsidP="00FE106E">
      <w:pPr>
        <w:spacing w:after="200" w:line="276" w:lineRule="auto"/>
        <w:ind w:left="450" w:right="720"/>
        <w:rPr>
          <w:rFonts w:ascii="Tw Cen MT" w:eastAsia="Tw Cen MT" w:hAnsi="Tw Cen MT" w:cs="Times New Roman"/>
          <w:sz w:val="24"/>
          <w:szCs w:val="24"/>
        </w:rPr>
      </w:pPr>
      <w:r w:rsidRPr="00FE106E">
        <w:rPr>
          <w:rFonts w:ascii="Tw Cen MT" w:eastAsia="Tw Cen MT" w:hAnsi="Tw Cen MT" w:cs="Times New Roman"/>
          <w:b/>
          <w:sz w:val="24"/>
          <w:szCs w:val="24"/>
        </w:rPr>
        <w:t>Canva Link</w:t>
      </w:r>
      <w:r w:rsidRPr="00430FB1">
        <w:rPr>
          <w:rFonts w:ascii="Tw Cen MT" w:eastAsia="Tw Cen MT" w:hAnsi="Tw Cen MT" w:cs="Times New Roman"/>
          <w:sz w:val="24"/>
          <w:szCs w:val="24"/>
        </w:rPr>
        <w:t xml:space="preserve">: </w:t>
      </w:r>
      <w:r w:rsidR="00FE106E" w:rsidRPr="00430FB1">
        <w:rPr>
          <w:rFonts w:ascii="Tw Cen MT" w:eastAsia="Tw Cen MT" w:hAnsi="Tw Cen MT" w:cs="Times New Roman"/>
          <w:sz w:val="24"/>
          <w:szCs w:val="24"/>
        </w:rPr>
        <w:t>You can edit the template on Canva to better meet your needs. You do not need to have a Canva account, just click on the link below to edit, download, and share.</w:t>
      </w:r>
    </w:p>
    <w:p w:rsidR="00430FB1" w:rsidRDefault="00114418" w:rsidP="005B0799">
      <w:pPr>
        <w:spacing w:after="0" w:line="276" w:lineRule="auto"/>
        <w:ind w:left="450" w:right="720"/>
        <w:jc w:val="center"/>
        <w:rPr>
          <w:rFonts w:ascii="Tw Cen MT" w:eastAsia="Times New Roman" w:hAnsi="Tw Cen MT" w:cs="Times New Roman"/>
          <w:sz w:val="24"/>
          <w:szCs w:val="24"/>
        </w:rPr>
      </w:pPr>
      <w:hyperlink r:id="rId8" w:history="1">
        <w:r w:rsidR="00830805">
          <w:rPr>
            <w:rFonts w:ascii="Tw Cen MT" w:eastAsia="Tw Cen MT" w:hAnsi="Tw Cen MT" w:cs="Times New Roman"/>
            <w:color w:val="01456F"/>
            <w:sz w:val="24"/>
            <w:szCs w:val="24"/>
            <w:u w:val="single"/>
          </w:rPr>
          <w:t>https://www.canva.com/design</w:t>
        </w:r>
      </w:hyperlink>
    </w:p>
    <w:p w:rsidR="00FE106E" w:rsidRDefault="00FE106E" w:rsidP="00430FB1">
      <w:pPr>
        <w:spacing w:after="0" w:line="276" w:lineRule="auto"/>
        <w:ind w:left="450" w:right="720"/>
        <w:rPr>
          <w:rFonts w:ascii="Tw Cen MT" w:eastAsia="Times New Roman" w:hAnsi="Tw Cen MT" w:cs="Times New Roman"/>
          <w:sz w:val="24"/>
          <w:szCs w:val="24"/>
        </w:rPr>
      </w:pPr>
    </w:p>
    <w:p w:rsidR="00FE106E" w:rsidRPr="00FE106E" w:rsidRDefault="00FE106E" w:rsidP="00430FB1">
      <w:pPr>
        <w:spacing w:after="0" w:line="276" w:lineRule="auto"/>
        <w:ind w:left="450" w:right="720"/>
        <w:rPr>
          <w:rFonts w:ascii="Tw Cen MT" w:eastAsia="Times New Roman" w:hAnsi="Tw Cen MT" w:cs="Times New Roman"/>
          <w:szCs w:val="24"/>
        </w:rPr>
      </w:pPr>
      <w:bookmarkStart w:id="2" w:name="_Hlk80089196"/>
      <w:r w:rsidRPr="00FE106E">
        <w:rPr>
          <w:rFonts w:ascii="Tw Cen MT" w:eastAsia="Times New Roman" w:hAnsi="Tw Cen MT" w:cs="Times New Roman"/>
          <w:b/>
          <w:szCs w:val="24"/>
        </w:rPr>
        <w:t>Source</w:t>
      </w:r>
      <w:r w:rsidRPr="00FE106E">
        <w:rPr>
          <w:rFonts w:ascii="Tw Cen MT" w:eastAsia="Times New Roman" w:hAnsi="Tw Cen MT" w:cs="Times New Roman"/>
          <w:szCs w:val="24"/>
        </w:rPr>
        <w:t>: Adapted from Trevino, N., &amp; Gaston, A. 2020. Healthy Native Youth: Virtual Adaptation Guide. Portland, OR: Northwest Portland Area Indian Health Board. Section 2.1 Identifying &amp; Building Partnerships.</w:t>
      </w:r>
    </w:p>
    <w:bookmarkEnd w:id="2"/>
    <w:p w:rsidR="00430FB1" w:rsidRPr="00430FB1" w:rsidRDefault="00114418" w:rsidP="00430FB1">
      <w:pPr>
        <w:spacing w:line="276" w:lineRule="auto"/>
        <w:jc w:val="center"/>
        <w:rPr>
          <w:rFonts w:ascii="Tw Cen MT" w:eastAsia="Tw Cen MT" w:hAnsi="Tw Cen MT" w:cs="Times New Roman"/>
          <w:b/>
          <w:noProof/>
          <w:lang w:bidi="en-US"/>
        </w:rPr>
      </w:pPr>
      <w:r>
        <w:rPr>
          <w:rFonts w:ascii="Tw Cen MT" w:eastAsia="Tw Cen MT" w:hAnsi="Tw Cen MT" w:cs="Times New Roman"/>
          <w:b/>
          <w:noProof/>
          <w:lang w:bidi="en-US"/>
        </w:rPr>
        <w:pict>
          <v:rect id="_x0000_i1026" style="width:468pt;height:.6pt" o:hralign="center" o:hrstd="t" o:hr="t" fillcolor="#a0a0a0" stroked="f"/>
        </w:pict>
      </w:r>
    </w:p>
    <w:p w:rsidR="00430FB1" w:rsidRPr="00430FB1" w:rsidRDefault="00430FB1" w:rsidP="00430FB1">
      <w:pPr>
        <w:spacing w:after="200" w:line="276" w:lineRule="auto"/>
        <w:rPr>
          <w:rFonts w:ascii="Tw Cen MT" w:eastAsia="Tw Cen MT" w:hAnsi="Tw Cen MT" w:cs="Times New Roman"/>
          <w:color w:val="008284"/>
          <w:sz w:val="32"/>
        </w:rPr>
      </w:pPr>
      <w:r w:rsidRPr="00430FB1">
        <w:rPr>
          <w:rFonts w:ascii="Tw Cen MT" w:eastAsia="Tw Cen MT" w:hAnsi="Tw Cen MT" w:cs="Times New Roman"/>
          <w:color w:val="008284"/>
          <w:sz w:val="32"/>
        </w:rPr>
        <w:br w:type="page"/>
      </w:r>
    </w:p>
    <w:p w:rsidR="00430FB1" w:rsidRPr="00430FB1" w:rsidRDefault="00430FB1" w:rsidP="00430FB1">
      <w:pPr>
        <w:spacing w:after="0" w:line="276" w:lineRule="auto"/>
        <w:rPr>
          <w:rFonts w:ascii="Tw Cen MT" w:eastAsia="Tw Cen MT" w:hAnsi="Tw Cen MT" w:cs="Times New Roman"/>
          <w:color w:val="008284"/>
          <w:sz w:val="32"/>
        </w:rPr>
        <w:sectPr w:rsidR="00430FB1" w:rsidRPr="00430FB1">
          <w:pgSz w:w="12240" w:h="15840"/>
          <w:pgMar w:top="1152" w:right="1152" w:bottom="1152" w:left="1152" w:header="720" w:footer="720" w:gutter="0"/>
          <w:cols w:space="720"/>
          <w:formProt w:val="0"/>
        </w:sectPr>
      </w:pPr>
    </w:p>
    <w:p w:rsidR="00430FB1" w:rsidRPr="00430FB1" w:rsidRDefault="009234F6" w:rsidP="009234F6">
      <w:pPr>
        <w:spacing w:after="200" w:line="276" w:lineRule="auto"/>
        <w:ind w:right="630"/>
        <w:jc w:val="center"/>
        <w:rPr>
          <w:rFonts w:ascii="Tw Cen MT" w:eastAsia="Tw Cen MT" w:hAnsi="Tw Cen MT" w:cs="Times New Roman"/>
          <w:color w:val="008284"/>
          <w:sz w:val="32"/>
        </w:rPr>
      </w:pPr>
      <w:r w:rsidRPr="009234F6">
        <w:rPr>
          <w:rFonts w:ascii="Tw Cen MT" w:eastAsia="Tw Cen MT" w:hAnsi="Tw Cen MT" w:cs="Times New Roman"/>
          <w:noProof/>
          <w:color w:val="008284"/>
          <w:sz w:val="32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-571500</wp:posOffset>
            </wp:positionH>
            <wp:positionV relativeFrom="margin">
              <wp:posOffset>-314325</wp:posOffset>
            </wp:positionV>
            <wp:extent cx="7077710" cy="8849360"/>
            <wp:effectExtent l="0" t="0" r="889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710" cy="884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30FB1" w:rsidRPr="00430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FB1"/>
    <w:rsid w:val="00114418"/>
    <w:rsid w:val="001E57E6"/>
    <w:rsid w:val="003660F6"/>
    <w:rsid w:val="00430FB1"/>
    <w:rsid w:val="005B0799"/>
    <w:rsid w:val="006F115F"/>
    <w:rsid w:val="00830805"/>
    <w:rsid w:val="009234F6"/>
    <w:rsid w:val="00AE582E"/>
    <w:rsid w:val="00F47F16"/>
    <w:rsid w:val="00F51173"/>
    <w:rsid w:val="00F9086C"/>
    <w:rsid w:val="00FE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C51E4AC"/>
  <w15:chartTrackingRefBased/>
  <w15:docId w15:val="{B5E50D98-BC4A-40F7-A4ED-D9569594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4851">
          <w:marLeft w:val="45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798">
          <w:marLeft w:val="45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design/DAEQnYz7Wyo/xzFjvw_b6MyHO2D-Jzi0iw/view?utm_content=DAEQnYz7Wyo&amp;utm_campaign=designshare&amp;utm_medium=link&amp;utm_source=sharebutton&amp;mode=preview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Singer</dc:creator>
  <cp:keywords/>
  <dc:description/>
  <cp:lastModifiedBy>Stephanie Craig</cp:lastModifiedBy>
  <cp:revision>6</cp:revision>
  <dcterms:created xsi:type="dcterms:W3CDTF">2021-08-17T16:15:00Z</dcterms:created>
  <dcterms:modified xsi:type="dcterms:W3CDTF">2021-10-15T16:40:00Z</dcterms:modified>
</cp:coreProperties>
</file>